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A" w:rsidRPr="006E62D7" w:rsidRDefault="0000051E" w:rsidP="006E62D7">
      <w:pPr>
        <w:ind w:left="-360"/>
        <w:rPr>
          <w:rFonts w:ascii="Cambria" w:hAnsi="Cambria"/>
          <w:b/>
          <w:bCs/>
          <w:lang w:val="en-US"/>
        </w:rPr>
      </w:pPr>
      <w:r w:rsidRPr="006E62D7">
        <w:rPr>
          <w:rFonts w:ascii="Cambria" w:hAnsi="Cambria"/>
          <w:b/>
          <w:bCs/>
          <w:lang w:val="en-US"/>
        </w:rPr>
        <w:t>Ref: CO/</w:t>
      </w:r>
      <w:proofErr w:type="spellStart"/>
      <w:r w:rsidRPr="006E62D7">
        <w:rPr>
          <w:rFonts w:ascii="Cambria" w:hAnsi="Cambria"/>
          <w:b/>
          <w:bCs/>
          <w:lang w:val="en-US"/>
        </w:rPr>
        <w:t>Actl</w:t>
      </w:r>
      <w:proofErr w:type="spellEnd"/>
      <w:r w:rsidRPr="006E62D7">
        <w:rPr>
          <w:rFonts w:ascii="Cambria" w:hAnsi="Cambria"/>
          <w:b/>
          <w:bCs/>
          <w:lang w:val="en-US"/>
        </w:rPr>
        <w:t>/2021/AS-202011/A</w:t>
      </w:r>
      <w:r w:rsidR="00E23B0E">
        <w:rPr>
          <w:rFonts w:ascii="Cambria" w:hAnsi="Cambria"/>
          <w:b/>
          <w:bCs/>
          <w:lang w:val="en-US"/>
        </w:rPr>
        <w:t>13</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t>Date:</w:t>
      </w:r>
      <w:r w:rsidR="00201CEB">
        <w:rPr>
          <w:rFonts w:ascii="Cambria" w:hAnsi="Cambria"/>
          <w:b/>
          <w:bCs/>
          <w:lang w:val="en-US"/>
        </w:rPr>
        <w:t xml:space="preserve"> </w:t>
      </w:r>
      <w:r w:rsidR="006F4E7D">
        <w:rPr>
          <w:rFonts w:ascii="Cambria" w:hAnsi="Cambria"/>
          <w:b/>
          <w:bCs/>
          <w:lang w:val="en-US"/>
        </w:rPr>
        <w:t>23.11.2020</w:t>
      </w:r>
    </w:p>
    <w:p w:rsidR="00206263" w:rsidRPr="00992A46" w:rsidRDefault="00206263" w:rsidP="006E62D7">
      <w:pPr>
        <w:spacing w:after="0"/>
        <w:jc w:val="center"/>
        <w:rPr>
          <w:rFonts w:ascii="Cambria" w:hAnsi="Cambria"/>
          <w:b/>
          <w:bCs/>
          <w:color w:val="0070C0"/>
          <w:sz w:val="28"/>
          <w:szCs w:val="24"/>
          <w:lang w:val="en-US"/>
        </w:rPr>
      </w:pPr>
      <w:r w:rsidRPr="00992A46">
        <w:rPr>
          <w:rFonts w:ascii="Cambria" w:hAnsi="Cambria"/>
          <w:b/>
          <w:bCs/>
          <w:color w:val="0070C0"/>
          <w:sz w:val="28"/>
          <w:szCs w:val="24"/>
          <w:lang w:val="en-US"/>
        </w:rPr>
        <w:t xml:space="preserve">ANNEXURE </w:t>
      </w:r>
      <w:r w:rsidR="00E23B0E" w:rsidRPr="00992A46">
        <w:rPr>
          <w:rFonts w:ascii="Cambria" w:hAnsi="Cambria"/>
          <w:b/>
          <w:bCs/>
          <w:color w:val="0070C0"/>
          <w:sz w:val="28"/>
          <w:szCs w:val="24"/>
          <w:lang w:val="en-US"/>
        </w:rPr>
        <w:t>XIII</w:t>
      </w:r>
    </w:p>
    <w:p w:rsidR="00C56574" w:rsidRPr="00992A46" w:rsidRDefault="00E23B0E" w:rsidP="00C56574">
      <w:pPr>
        <w:spacing w:after="0" w:line="240" w:lineRule="auto"/>
        <w:jc w:val="center"/>
        <w:rPr>
          <w:rFonts w:ascii="Cambria" w:eastAsia="Times New Roman" w:hAnsi="Cambria" w:cs="Courier New"/>
          <w:bCs/>
          <w:color w:val="2F5496" w:themeColor="accent1" w:themeShade="BF"/>
          <w:sz w:val="28"/>
          <w:lang w:val="en-US" w:eastAsia="en-IN"/>
        </w:rPr>
      </w:pPr>
      <w:r w:rsidRPr="00992A46">
        <w:rPr>
          <w:rFonts w:ascii="Cambria" w:hAnsi="Cambria"/>
          <w:b/>
          <w:bCs/>
          <w:color w:val="0070C0"/>
          <w:sz w:val="28"/>
          <w:szCs w:val="24"/>
          <w:lang w:val="en-US"/>
        </w:rPr>
        <w:t>Compliance Sheet for Acceptance of Scope of Work</w:t>
      </w:r>
    </w:p>
    <w:p w:rsidR="0073409E" w:rsidRDefault="00B41A40" w:rsidP="00206263">
      <w:pPr>
        <w:spacing w:after="0"/>
        <w:jc w:val="center"/>
        <w:rPr>
          <w:rFonts w:ascii="Cambria" w:eastAsia="Times New Roman" w:hAnsi="Cambria" w:cs="Courier New"/>
          <w:bCs/>
          <w:color w:val="2F5496" w:themeColor="accent1" w:themeShade="BF"/>
          <w:sz w:val="24"/>
          <w:lang w:val="en-US" w:eastAsia="en-IN"/>
        </w:rPr>
      </w:pPr>
      <w:r>
        <w:rPr>
          <w:rFonts w:ascii="Cambria" w:hAnsi="Cambria"/>
          <w:b/>
          <w:bCs/>
          <w:noProof/>
          <w:color w:val="44546A" w:themeColor="text2"/>
          <w:lang w:val="en-US"/>
        </w:rPr>
        <w:pict>
          <v:line id="Straight Connector 2" o:spid="_x0000_s1026" style="position:absolute;left:0;text-align:left;flip:y;z-index:251659264;visibility:visible;mso-position-horizontal-relative:margin;mso-width-relative:margin;mso-height-relative:margin" from="4.3pt,7.85pt" to="452.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" strokecolor="#ffc000" strokeweight="1pt">
            <v:stroke joinstyle="miter"/>
            <w10:wrap anchorx="margin"/>
          </v:line>
        </w:pict>
      </w:r>
    </w:p>
    <w:p w:rsidR="00206263" w:rsidRPr="00992A46" w:rsidRDefault="00206263" w:rsidP="00206263">
      <w:pPr>
        <w:spacing w:after="0"/>
        <w:jc w:val="center"/>
        <w:rPr>
          <w:rFonts w:ascii="Cambria" w:eastAsia="Times New Roman" w:hAnsi="Cambria" w:cs="Courier New"/>
          <w:bCs/>
          <w:color w:val="2F5496" w:themeColor="accent1" w:themeShade="BF"/>
          <w:lang w:val="en-US" w:eastAsia="en-IN"/>
        </w:rPr>
      </w:pPr>
      <w:r w:rsidRPr="00992A46">
        <w:rPr>
          <w:rFonts w:ascii="Cambria" w:eastAsia="Times New Roman" w:hAnsi="Cambria" w:cs="Courier New"/>
          <w:bCs/>
          <w:color w:val="2F5496" w:themeColor="accent1" w:themeShade="BF"/>
          <w:lang w:val="en-US" w:eastAsia="en-IN"/>
        </w:rPr>
        <w:t>RFP for Integrated Suite of Actuarial Software for Life Insurance</w:t>
      </w:r>
      <w:r w:rsidR="006F4E7D">
        <w:rPr>
          <w:rFonts w:ascii="Cambria" w:eastAsia="Times New Roman" w:hAnsi="Cambria" w:cs="Courier New"/>
          <w:bCs/>
          <w:color w:val="2F5496" w:themeColor="accent1" w:themeShade="BF"/>
          <w:lang w:val="en-US" w:eastAsia="en-IN"/>
        </w:rPr>
        <w:t xml:space="preserve"> with Managed Services</w:t>
      </w:r>
      <w:bookmarkStart w:id="0" w:name="_GoBack"/>
      <w:bookmarkEnd w:id="0"/>
    </w:p>
    <w:p w:rsidR="00206263" w:rsidRPr="00992A46" w:rsidRDefault="00206263" w:rsidP="00206263">
      <w:pPr>
        <w:spacing w:after="0"/>
        <w:jc w:val="center"/>
        <w:rPr>
          <w:rFonts w:ascii="Cambria" w:hAnsi="Cambria"/>
          <w:bCs/>
          <w:color w:val="2F5496" w:themeColor="accent1" w:themeShade="BF"/>
          <w:sz w:val="20"/>
          <w:lang w:val="en-US"/>
        </w:rPr>
      </w:pPr>
      <w:r w:rsidRPr="00992A46">
        <w:rPr>
          <w:rFonts w:ascii="Cambria" w:eastAsia="Times New Roman" w:hAnsi="Cambria" w:cs="Courier New"/>
          <w:bCs/>
          <w:color w:val="2F5496" w:themeColor="accent1" w:themeShade="BF"/>
          <w:lang w:val="en-US" w:eastAsia="en-IN"/>
        </w:rPr>
        <w:t xml:space="preserve">Ref: </w:t>
      </w:r>
      <w:r w:rsidRPr="00992A46">
        <w:rPr>
          <w:rFonts w:ascii="Cambria" w:hAnsi="Cambria"/>
          <w:bCs/>
          <w:color w:val="2F5496" w:themeColor="accent1" w:themeShade="BF"/>
          <w:sz w:val="20"/>
          <w:lang w:val="en-US"/>
        </w:rPr>
        <w:t>CO/</w:t>
      </w:r>
      <w:proofErr w:type="spellStart"/>
      <w:r w:rsidRPr="00992A46">
        <w:rPr>
          <w:rFonts w:ascii="Cambria" w:hAnsi="Cambria"/>
          <w:bCs/>
          <w:color w:val="2F5496" w:themeColor="accent1" w:themeShade="BF"/>
          <w:sz w:val="20"/>
          <w:lang w:val="en-US"/>
        </w:rPr>
        <w:t>Actl</w:t>
      </w:r>
      <w:proofErr w:type="spellEnd"/>
      <w:r w:rsidRPr="00992A46">
        <w:rPr>
          <w:rFonts w:ascii="Cambria" w:hAnsi="Cambria"/>
          <w:bCs/>
          <w:color w:val="2F5496" w:themeColor="accent1" w:themeShade="BF"/>
          <w:sz w:val="20"/>
          <w:lang w:val="en-US"/>
        </w:rPr>
        <w:t>/2021/AS-202011/RFP</w:t>
      </w:r>
    </w:p>
    <w:p w:rsidR="006E62D7" w:rsidRDefault="006E62D7" w:rsidP="00206263">
      <w:pPr>
        <w:spacing w:after="0"/>
        <w:rPr>
          <w:rFonts w:ascii="Cambria" w:hAnsi="Cambria"/>
          <w:lang w:val="en-US"/>
        </w:rPr>
      </w:pPr>
    </w:p>
    <w:tbl>
      <w:tblPr>
        <w:tblStyle w:val="GridTable6ColorfulAccent5"/>
        <w:tblW w:w="9900" w:type="dxa"/>
        <w:tblInd w:w="-342" w:type="dxa"/>
        <w:tblLook w:val="04A0" w:firstRow="1" w:lastRow="0" w:firstColumn="1" w:lastColumn="0" w:noHBand="0" w:noVBand="1"/>
      </w:tblPr>
      <w:tblGrid>
        <w:gridCol w:w="477"/>
        <w:gridCol w:w="7178"/>
        <w:gridCol w:w="2245"/>
      </w:tblGrid>
      <w:tr w:rsidR="00E23B0E" w:rsidTr="00992A4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Default="00E23B0E" w:rsidP="00E23B0E">
            <w:pPr>
              <w:jc w:val="center"/>
              <w:rPr>
                <w:rFonts w:ascii="Cambria" w:hAnsi="Cambria"/>
                <w:lang w:val="en-US"/>
              </w:rPr>
            </w:pPr>
            <w:r>
              <w:rPr>
                <w:rFonts w:ascii="Cambria" w:hAnsi="Cambria"/>
                <w:lang w:val="en-US"/>
              </w:rPr>
              <w:t>#</w:t>
            </w:r>
          </w:p>
        </w:tc>
        <w:tc>
          <w:tcPr>
            <w:tcW w:w="7178" w:type="dxa"/>
            <w:vAlign w:val="center"/>
          </w:tcPr>
          <w:p w:rsidR="00E23B0E" w:rsidRDefault="00E23B0E" w:rsidP="00E23B0E">
            <w:pPr>
              <w:jc w:val="center"/>
              <w:cnfStyle w:val="100000000000" w:firstRow="1" w:lastRow="0" w:firstColumn="0" w:lastColumn="0" w:oddVBand="0" w:evenVBand="0" w:oddHBand="0" w:evenHBand="0" w:firstRowFirstColumn="0" w:firstRowLastColumn="0" w:lastRowFirstColumn="0" w:lastRowLastColumn="0"/>
              <w:rPr>
                <w:rFonts w:ascii="Cambria" w:hAnsi="Cambria"/>
                <w:lang w:val="en-US"/>
              </w:rPr>
            </w:pPr>
            <w:r>
              <w:rPr>
                <w:rFonts w:ascii="Cambria" w:hAnsi="Cambria"/>
                <w:lang w:val="en-US"/>
              </w:rPr>
              <w:t>Capabilities</w:t>
            </w:r>
          </w:p>
        </w:tc>
        <w:tc>
          <w:tcPr>
            <w:tcW w:w="2245" w:type="dxa"/>
            <w:vAlign w:val="center"/>
          </w:tcPr>
          <w:p w:rsidR="00E23B0E" w:rsidRDefault="00E23B0E" w:rsidP="00E23B0E">
            <w:pPr>
              <w:jc w:val="center"/>
              <w:cnfStyle w:val="100000000000" w:firstRow="1" w:lastRow="0" w:firstColumn="0" w:lastColumn="0" w:oddVBand="0" w:evenVBand="0" w:oddHBand="0" w:evenHBand="0" w:firstRowFirstColumn="0" w:firstRowLastColumn="0" w:lastRowFirstColumn="0" w:lastRowLastColumn="0"/>
              <w:rPr>
                <w:rFonts w:ascii="Cambria" w:hAnsi="Cambria"/>
                <w:lang w:val="en-US"/>
              </w:rPr>
            </w:pPr>
            <w:r>
              <w:rPr>
                <w:rFonts w:ascii="Cambria" w:hAnsi="Cambria"/>
                <w:lang w:val="en-US"/>
              </w:rPr>
              <w:t>Bidder’s Response</w:t>
            </w:r>
          </w:p>
        </w:tc>
      </w:tr>
      <w:tr w:rsidR="00E23B0E" w:rsidTr="00992A46">
        <w:trPr>
          <w:cnfStyle w:val="000000100000" w:firstRow="0" w:lastRow="0" w:firstColumn="0" w:lastColumn="0" w:oddVBand="0" w:evenVBand="0" w:oddHBand="1" w:evenHBand="0"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1</w:t>
            </w:r>
          </w:p>
        </w:tc>
        <w:tc>
          <w:tcPr>
            <w:tcW w:w="7178" w:type="dxa"/>
            <w:vAlign w:val="center"/>
          </w:tcPr>
          <w:p w:rsidR="00E23B0E" w:rsidRPr="00992A46" w:rsidRDefault="00E23B0E" w:rsidP="00992A46">
            <w:pPr>
              <w:jc w:val="both"/>
              <w:cnfStyle w:val="000000100000" w:firstRow="0" w:lastRow="0" w:firstColumn="0" w:lastColumn="0" w:oddVBand="0" w:evenVBand="0" w:oddHBand="1"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 xml:space="preserve">Handling over 50 </w:t>
            </w:r>
            <w:proofErr w:type="spellStart"/>
            <w:r w:rsidRPr="00992A46">
              <w:rPr>
                <w:rFonts w:ascii="Cambria" w:hAnsi="Cambria" w:cs="TheSans B4 SemiLight"/>
                <w:color w:val="auto"/>
                <w:szCs w:val="24"/>
                <w:lang w:val="en-US"/>
              </w:rPr>
              <w:t>crore</w:t>
            </w:r>
            <w:proofErr w:type="spellEnd"/>
            <w:r w:rsidRPr="00992A46">
              <w:rPr>
                <w:rFonts w:ascii="Cambria" w:hAnsi="Cambria" w:cs="TheSans B4 SemiLight"/>
                <w:color w:val="auto"/>
                <w:szCs w:val="24"/>
                <w:lang w:val="en-US"/>
              </w:rPr>
              <w:t xml:space="preserve"> policies and over 200 products under Individual business and around 170,000 schemes with over 12 </w:t>
            </w:r>
            <w:proofErr w:type="spellStart"/>
            <w:r w:rsidRPr="00992A46">
              <w:rPr>
                <w:rFonts w:ascii="Cambria" w:hAnsi="Cambria" w:cs="TheSans B4 SemiLight"/>
                <w:color w:val="auto"/>
                <w:szCs w:val="24"/>
                <w:lang w:val="en-US"/>
              </w:rPr>
              <w:t>Crores</w:t>
            </w:r>
            <w:proofErr w:type="spellEnd"/>
            <w:r w:rsidRPr="00992A46">
              <w:rPr>
                <w:rFonts w:ascii="Cambria" w:hAnsi="Cambria" w:cs="TheSans B4 SemiLight"/>
                <w:color w:val="auto"/>
                <w:szCs w:val="24"/>
                <w:lang w:val="en-US"/>
              </w:rPr>
              <w:t xml:space="preserve"> of lives Group Products.</w:t>
            </w:r>
          </w:p>
        </w:tc>
        <w:tc>
          <w:tcPr>
            <w:tcW w:w="2245" w:type="dxa"/>
            <w:vAlign w:val="center"/>
          </w:tcPr>
          <w:p w:rsidR="00E23B0E" w:rsidRPr="00992A46" w:rsidRDefault="00E23B0E" w:rsidP="00992A46">
            <w:pPr>
              <w:cnfStyle w:val="000000100000" w:firstRow="0" w:lastRow="0" w:firstColumn="0" w:lastColumn="0" w:oddVBand="0" w:evenVBand="0" w:oddHBand="1" w:evenHBand="0" w:firstRowFirstColumn="0" w:firstRowLastColumn="0" w:lastRowFirstColumn="0" w:lastRowLastColumn="0"/>
              <w:rPr>
                <w:rFonts w:ascii="Cambria" w:hAnsi="Cambria"/>
                <w:color w:val="auto"/>
                <w:lang w:val="en-US"/>
              </w:rPr>
            </w:pPr>
          </w:p>
        </w:tc>
      </w:tr>
      <w:tr w:rsidR="00992A46" w:rsidTr="00992A46">
        <w:trPr>
          <w:trHeight w:val="432"/>
        </w:trPr>
        <w:tc>
          <w:tcPr>
            <w:cnfStyle w:val="001000000000" w:firstRow="0" w:lastRow="0" w:firstColumn="1" w:lastColumn="0" w:oddVBand="0" w:evenVBand="0" w:oddHBand="0" w:evenHBand="0" w:firstRowFirstColumn="0" w:firstRowLastColumn="0" w:lastRowFirstColumn="0" w:lastRowLastColumn="0"/>
            <w:tcW w:w="477" w:type="dxa"/>
            <w:vAlign w:val="center"/>
          </w:tcPr>
          <w:p w:rsidR="00992A46" w:rsidRPr="00992A46" w:rsidRDefault="00992A46" w:rsidP="00E23B0E">
            <w:pPr>
              <w:jc w:val="center"/>
              <w:rPr>
                <w:rFonts w:ascii="Cambria" w:hAnsi="Cambria"/>
                <w:color w:val="auto"/>
                <w:lang w:val="en-US"/>
              </w:rPr>
            </w:pPr>
            <w:r>
              <w:rPr>
                <w:rFonts w:ascii="Cambria" w:hAnsi="Cambria"/>
                <w:color w:val="auto"/>
                <w:lang w:val="en-US"/>
              </w:rPr>
              <w:t>2</w:t>
            </w:r>
          </w:p>
        </w:tc>
        <w:tc>
          <w:tcPr>
            <w:tcW w:w="7178" w:type="dxa"/>
            <w:vAlign w:val="center"/>
          </w:tcPr>
          <w:p w:rsidR="00992A46" w:rsidRPr="00992A46" w:rsidRDefault="00992A46" w:rsidP="00992A46">
            <w:pPr>
              <w:jc w:val="both"/>
              <w:cnfStyle w:val="000000000000" w:firstRow="0" w:lastRow="0" w:firstColumn="0" w:lastColumn="0" w:oddVBand="0" w:evenVBand="0" w:oddHBand="0" w:evenHBand="0" w:firstRowFirstColumn="0" w:firstRowLastColumn="0" w:lastRowFirstColumn="0" w:lastRowLastColumn="0"/>
              <w:rPr>
                <w:rFonts w:ascii="Cambria" w:hAnsi="Cambria" w:cs="TheSans B4 SemiLight"/>
                <w:color w:val="auto"/>
                <w:szCs w:val="24"/>
                <w:lang w:val="en-US"/>
              </w:rPr>
            </w:pPr>
            <w:r w:rsidRPr="00992A46">
              <w:rPr>
                <w:rFonts w:ascii="Cambria" w:hAnsi="Cambria" w:cs="TheSans B4 SemiLight"/>
                <w:color w:val="auto"/>
                <w:szCs w:val="24"/>
                <w:lang w:val="en-US"/>
              </w:rPr>
              <w:t>Data Migration and Integration of the LICI products with the software.</w:t>
            </w:r>
          </w:p>
        </w:tc>
        <w:tc>
          <w:tcPr>
            <w:tcW w:w="2245" w:type="dxa"/>
            <w:vAlign w:val="center"/>
          </w:tcPr>
          <w:p w:rsidR="00992A46" w:rsidRPr="00992A46" w:rsidRDefault="00992A46" w:rsidP="00992A46">
            <w:pPr>
              <w:cnfStyle w:val="000000000000" w:firstRow="0" w:lastRow="0" w:firstColumn="0" w:lastColumn="0" w:oddVBand="0" w:evenVBand="0" w:oddHBand="0" w:evenHBand="0" w:firstRowFirstColumn="0" w:firstRowLastColumn="0" w:lastRowFirstColumn="0" w:lastRowLastColumn="0"/>
              <w:rPr>
                <w:rFonts w:ascii="Cambria" w:hAnsi="Cambria"/>
                <w:color w:val="auto"/>
                <w:lang w:val="en-US"/>
              </w:rPr>
            </w:pPr>
          </w:p>
        </w:tc>
      </w:tr>
      <w:tr w:rsidR="00E23B0E" w:rsidTr="00992A46">
        <w:trPr>
          <w:cnfStyle w:val="000000100000" w:firstRow="0" w:lastRow="0" w:firstColumn="0" w:lastColumn="0" w:oddVBand="0" w:evenVBand="0" w:oddHBand="1" w:evenHBand="0"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3</w:t>
            </w:r>
          </w:p>
        </w:tc>
        <w:tc>
          <w:tcPr>
            <w:tcW w:w="7178" w:type="dxa"/>
            <w:vAlign w:val="center"/>
          </w:tcPr>
          <w:p w:rsidR="00E23B0E" w:rsidRPr="00992A46" w:rsidRDefault="00E23B0E" w:rsidP="00992A46">
            <w:pPr>
              <w:jc w:val="both"/>
              <w:cnfStyle w:val="000000100000" w:firstRow="0" w:lastRow="0" w:firstColumn="0" w:lastColumn="0" w:oddVBand="0" w:evenVBand="0" w:oddHBand="1"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Determination of all the outputs required for Indian Embedded Value in an automated manner including movement analysis in accordance with Actuarial Practice Standard (APS 10) issued by Institute of Actuaries of India and other Acts and Regulations in this regard and corresponding Reporting Requirements.</w:t>
            </w:r>
          </w:p>
        </w:tc>
        <w:tc>
          <w:tcPr>
            <w:tcW w:w="2245" w:type="dxa"/>
            <w:vAlign w:val="center"/>
          </w:tcPr>
          <w:p w:rsidR="00E23B0E" w:rsidRPr="00992A46" w:rsidRDefault="00E23B0E" w:rsidP="00992A46">
            <w:pPr>
              <w:cnfStyle w:val="000000100000" w:firstRow="0" w:lastRow="0" w:firstColumn="0" w:lastColumn="0" w:oddVBand="0" w:evenVBand="0" w:oddHBand="1" w:evenHBand="0" w:firstRowFirstColumn="0" w:firstRowLastColumn="0" w:lastRowFirstColumn="0" w:lastRowLastColumn="0"/>
              <w:rPr>
                <w:rFonts w:ascii="Cambria" w:hAnsi="Cambria"/>
                <w:color w:val="auto"/>
                <w:lang w:val="en-US"/>
              </w:rPr>
            </w:pPr>
          </w:p>
        </w:tc>
      </w:tr>
      <w:tr w:rsidR="00E23B0E" w:rsidTr="00992A46">
        <w:trPr>
          <w:trHeight w:val="720"/>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4</w:t>
            </w:r>
          </w:p>
        </w:tc>
        <w:tc>
          <w:tcPr>
            <w:tcW w:w="7178" w:type="dxa"/>
            <w:vAlign w:val="center"/>
          </w:tcPr>
          <w:p w:rsidR="00E23B0E" w:rsidRPr="00992A46" w:rsidRDefault="00E23B0E" w:rsidP="00992A46">
            <w:pPr>
              <w:jc w:val="both"/>
              <w:cnfStyle w:val="000000000000" w:firstRow="0" w:lastRow="0" w:firstColumn="0" w:lastColumn="0" w:oddVBand="0" w:evenVBand="0" w:oddHBand="0"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Stochastic modeling, Projection of future solvency /capital &amp; sensitivity analysis, Resilience testing besides statutory valuation.</w:t>
            </w:r>
          </w:p>
        </w:tc>
        <w:tc>
          <w:tcPr>
            <w:tcW w:w="2245" w:type="dxa"/>
            <w:vAlign w:val="center"/>
          </w:tcPr>
          <w:p w:rsidR="00E23B0E" w:rsidRPr="00992A46" w:rsidRDefault="00E23B0E" w:rsidP="00992A46">
            <w:pPr>
              <w:cnfStyle w:val="000000000000" w:firstRow="0" w:lastRow="0" w:firstColumn="0" w:lastColumn="0" w:oddVBand="0" w:evenVBand="0" w:oddHBand="0" w:evenHBand="0" w:firstRowFirstColumn="0" w:firstRowLastColumn="0" w:lastRowFirstColumn="0" w:lastRowLastColumn="0"/>
              <w:rPr>
                <w:rFonts w:ascii="Cambria" w:hAnsi="Cambria"/>
                <w:color w:val="auto"/>
                <w:lang w:val="en-US"/>
              </w:rPr>
            </w:pPr>
          </w:p>
        </w:tc>
      </w:tr>
      <w:tr w:rsidR="00E23B0E" w:rsidTr="00992A46">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5</w:t>
            </w:r>
          </w:p>
        </w:tc>
        <w:tc>
          <w:tcPr>
            <w:tcW w:w="7178" w:type="dxa"/>
            <w:vAlign w:val="center"/>
          </w:tcPr>
          <w:p w:rsidR="00E23B0E" w:rsidRPr="00992A46" w:rsidRDefault="00E23B0E" w:rsidP="00992A46">
            <w:pPr>
              <w:jc w:val="both"/>
              <w:cnfStyle w:val="000000100000" w:firstRow="0" w:lastRow="0" w:firstColumn="0" w:lastColumn="0" w:oddVBand="0" w:evenVBand="0" w:oddHBand="1"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 xml:space="preserve">Policy wise Asset Share determination and maintenance and storage. </w:t>
            </w:r>
          </w:p>
        </w:tc>
        <w:tc>
          <w:tcPr>
            <w:tcW w:w="2245" w:type="dxa"/>
            <w:vAlign w:val="center"/>
          </w:tcPr>
          <w:p w:rsidR="00E23B0E" w:rsidRPr="00992A46" w:rsidRDefault="00E23B0E" w:rsidP="00992A46">
            <w:pPr>
              <w:cnfStyle w:val="000000100000" w:firstRow="0" w:lastRow="0" w:firstColumn="0" w:lastColumn="0" w:oddVBand="0" w:evenVBand="0" w:oddHBand="1" w:evenHBand="0" w:firstRowFirstColumn="0" w:firstRowLastColumn="0" w:lastRowFirstColumn="0" w:lastRowLastColumn="0"/>
              <w:rPr>
                <w:rFonts w:ascii="Cambria" w:hAnsi="Cambria"/>
                <w:color w:val="auto"/>
                <w:lang w:val="en-US"/>
              </w:rPr>
            </w:pPr>
          </w:p>
        </w:tc>
      </w:tr>
      <w:tr w:rsidR="00E23B0E" w:rsidTr="00992A46">
        <w:trPr>
          <w:trHeight w:val="432"/>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6</w:t>
            </w:r>
          </w:p>
        </w:tc>
        <w:tc>
          <w:tcPr>
            <w:tcW w:w="7178" w:type="dxa"/>
            <w:vAlign w:val="center"/>
          </w:tcPr>
          <w:p w:rsidR="00E23B0E" w:rsidRPr="00992A46" w:rsidRDefault="00E23B0E" w:rsidP="00992A46">
            <w:pPr>
              <w:jc w:val="both"/>
              <w:cnfStyle w:val="000000000000" w:firstRow="0" w:lastRow="0" w:firstColumn="0" w:lastColumn="0" w:oddVBand="0" w:evenVBand="0" w:oddHBand="0"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Requirements of Product Pricing including validation of outputs.</w:t>
            </w:r>
          </w:p>
        </w:tc>
        <w:tc>
          <w:tcPr>
            <w:tcW w:w="2245" w:type="dxa"/>
            <w:vAlign w:val="center"/>
          </w:tcPr>
          <w:p w:rsidR="00E23B0E" w:rsidRPr="00992A46" w:rsidRDefault="00E23B0E" w:rsidP="00992A46">
            <w:pPr>
              <w:cnfStyle w:val="000000000000" w:firstRow="0" w:lastRow="0" w:firstColumn="0" w:lastColumn="0" w:oddVBand="0" w:evenVBand="0" w:oddHBand="0" w:evenHBand="0" w:firstRowFirstColumn="0" w:firstRowLastColumn="0" w:lastRowFirstColumn="0" w:lastRowLastColumn="0"/>
              <w:rPr>
                <w:rFonts w:ascii="Cambria" w:hAnsi="Cambria"/>
                <w:color w:val="auto"/>
                <w:lang w:val="en-US"/>
              </w:rPr>
            </w:pPr>
          </w:p>
        </w:tc>
      </w:tr>
      <w:tr w:rsidR="00E23B0E" w:rsidTr="00992A4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7</w:t>
            </w:r>
          </w:p>
        </w:tc>
        <w:tc>
          <w:tcPr>
            <w:tcW w:w="7178" w:type="dxa"/>
            <w:vAlign w:val="center"/>
          </w:tcPr>
          <w:p w:rsidR="00E23B0E" w:rsidRPr="00992A46" w:rsidRDefault="00E23B0E" w:rsidP="00992A46">
            <w:pPr>
              <w:jc w:val="both"/>
              <w:cnfStyle w:val="000000100000" w:firstRow="0" w:lastRow="0" w:firstColumn="0" w:lastColumn="0" w:oddVBand="0" w:evenVBand="0" w:oddHBand="1"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Requirements of Regulatory Reserving validation of outputs and Regulatory Reporting.</w:t>
            </w:r>
          </w:p>
        </w:tc>
        <w:tc>
          <w:tcPr>
            <w:tcW w:w="2245" w:type="dxa"/>
            <w:vAlign w:val="center"/>
          </w:tcPr>
          <w:p w:rsidR="00E23B0E" w:rsidRPr="00992A46" w:rsidRDefault="00E23B0E" w:rsidP="00992A46">
            <w:pPr>
              <w:cnfStyle w:val="000000100000" w:firstRow="0" w:lastRow="0" w:firstColumn="0" w:lastColumn="0" w:oddVBand="0" w:evenVBand="0" w:oddHBand="1" w:evenHBand="0" w:firstRowFirstColumn="0" w:firstRowLastColumn="0" w:lastRowFirstColumn="0" w:lastRowLastColumn="0"/>
              <w:rPr>
                <w:rFonts w:ascii="Cambria" w:hAnsi="Cambria"/>
                <w:color w:val="auto"/>
                <w:lang w:val="en-US"/>
              </w:rPr>
            </w:pPr>
          </w:p>
        </w:tc>
      </w:tr>
      <w:tr w:rsidR="00E23B0E" w:rsidTr="00992A46">
        <w:trPr>
          <w:trHeight w:val="432"/>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8</w:t>
            </w:r>
          </w:p>
        </w:tc>
        <w:tc>
          <w:tcPr>
            <w:tcW w:w="7178" w:type="dxa"/>
            <w:vAlign w:val="center"/>
          </w:tcPr>
          <w:p w:rsidR="00E23B0E" w:rsidRPr="00992A46" w:rsidRDefault="00E23B0E" w:rsidP="00992A46">
            <w:pPr>
              <w:jc w:val="both"/>
              <w:cnfStyle w:val="000000000000" w:firstRow="0" w:lastRow="0" w:firstColumn="0" w:lastColumn="0" w:oddVBand="0" w:evenVBand="0" w:oddHBand="0"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Experience Analysis and movement analysis.</w:t>
            </w:r>
          </w:p>
        </w:tc>
        <w:tc>
          <w:tcPr>
            <w:tcW w:w="2245" w:type="dxa"/>
            <w:vAlign w:val="center"/>
          </w:tcPr>
          <w:p w:rsidR="00E23B0E" w:rsidRPr="00992A46" w:rsidRDefault="00E23B0E" w:rsidP="00992A46">
            <w:pPr>
              <w:cnfStyle w:val="000000000000" w:firstRow="0" w:lastRow="0" w:firstColumn="0" w:lastColumn="0" w:oddVBand="0" w:evenVBand="0" w:oddHBand="0" w:evenHBand="0" w:firstRowFirstColumn="0" w:firstRowLastColumn="0" w:lastRowFirstColumn="0" w:lastRowLastColumn="0"/>
              <w:rPr>
                <w:rFonts w:ascii="Cambria" w:hAnsi="Cambria"/>
                <w:color w:val="auto"/>
                <w:lang w:val="en-US"/>
              </w:rPr>
            </w:pPr>
          </w:p>
        </w:tc>
      </w:tr>
      <w:tr w:rsidR="00E23B0E" w:rsidTr="00992A46">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9</w:t>
            </w:r>
          </w:p>
        </w:tc>
        <w:tc>
          <w:tcPr>
            <w:tcW w:w="7178" w:type="dxa"/>
            <w:vAlign w:val="center"/>
          </w:tcPr>
          <w:p w:rsidR="00E23B0E" w:rsidRPr="00992A46" w:rsidRDefault="00E23B0E" w:rsidP="00992A46">
            <w:pPr>
              <w:jc w:val="both"/>
              <w:cnfStyle w:val="000000100000" w:firstRow="0" w:lastRow="0" w:firstColumn="0" w:lastColumn="0" w:oddVBand="0" w:evenVBand="0" w:oddHBand="1"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Asset Liability Management.</w:t>
            </w:r>
          </w:p>
        </w:tc>
        <w:tc>
          <w:tcPr>
            <w:tcW w:w="2245" w:type="dxa"/>
            <w:vAlign w:val="center"/>
          </w:tcPr>
          <w:p w:rsidR="00E23B0E" w:rsidRPr="00992A46" w:rsidRDefault="00E23B0E" w:rsidP="00992A46">
            <w:pPr>
              <w:cnfStyle w:val="000000100000" w:firstRow="0" w:lastRow="0" w:firstColumn="0" w:lastColumn="0" w:oddVBand="0" w:evenVBand="0" w:oddHBand="1" w:evenHBand="0" w:firstRowFirstColumn="0" w:firstRowLastColumn="0" w:lastRowFirstColumn="0" w:lastRowLastColumn="0"/>
              <w:rPr>
                <w:rFonts w:ascii="Cambria" w:hAnsi="Cambria"/>
                <w:color w:val="auto"/>
                <w:lang w:val="en-US"/>
              </w:rPr>
            </w:pPr>
          </w:p>
        </w:tc>
      </w:tr>
      <w:tr w:rsidR="00E23B0E" w:rsidTr="00992A46">
        <w:trPr>
          <w:trHeight w:val="720"/>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10</w:t>
            </w:r>
          </w:p>
        </w:tc>
        <w:tc>
          <w:tcPr>
            <w:tcW w:w="7178" w:type="dxa"/>
            <w:vAlign w:val="center"/>
          </w:tcPr>
          <w:p w:rsidR="00E23B0E" w:rsidRPr="00992A46" w:rsidRDefault="00E23B0E" w:rsidP="00992A46">
            <w:pPr>
              <w:jc w:val="both"/>
              <w:cnfStyle w:val="000000000000" w:firstRow="0" w:lastRow="0" w:firstColumn="0" w:lastColumn="0" w:oddVBand="0" w:evenVBand="0" w:oddHBand="0"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 xml:space="preserve">System has to be flexible and yet robust enough to add and upgrade for the future Requirements such as </w:t>
            </w:r>
            <w:proofErr w:type="spellStart"/>
            <w:r w:rsidRPr="00992A46">
              <w:rPr>
                <w:rFonts w:ascii="Cambria" w:hAnsi="Cambria" w:cs="TheSans B4 SemiLight"/>
                <w:color w:val="auto"/>
                <w:szCs w:val="24"/>
                <w:lang w:val="en-US"/>
              </w:rPr>
              <w:t>Ind</w:t>
            </w:r>
            <w:proofErr w:type="spellEnd"/>
            <w:r w:rsidRPr="00992A46">
              <w:rPr>
                <w:rFonts w:ascii="Cambria" w:hAnsi="Cambria" w:cs="TheSans B4 SemiLight"/>
                <w:color w:val="auto"/>
                <w:szCs w:val="24"/>
                <w:lang w:val="en-US"/>
              </w:rPr>
              <w:t xml:space="preserve"> AS – 117, Risk Based Capital (RBC).</w:t>
            </w:r>
          </w:p>
        </w:tc>
        <w:tc>
          <w:tcPr>
            <w:tcW w:w="2245" w:type="dxa"/>
            <w:vAlign w:val="center"/>
          </w:tcPr>
          <w:p w:rsidR="00E23B0E" w:rsidRPr="00992A46" w:rsidRDefault="00E23B0E" w:rsidP="00992A46">
            <w:pPr>
              <w:cnfStyle w:val="000000000000" w:firstRow="0" w:lastRow="0" w:firstColumn="0" w:lastColumn="0" w:oddVBand="0" w:evenVBand="0" w:oddHBand="0" w:evenHBand="0" w:firstRowFirstColumn="0" w:firstRowLastColumn="0" w:lastRowFirstColumn="0" w:lastRowLastColumn="0"/>
              <w:rPr>
                <w:rFonts w:ascii="Cambria" w:hAnsi="Cambria"/>
                <w:color w:val="auto"/>
                <w:lang w:val="en-US"/>
              </w:rPr>
            </w:pPr>
          </w:p>
        </w:tc>
      </w:tr>
      <w:tr w:rsidR="00E23B0E" w:rsidTr="00992A4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477" w:type="dxa"/>
            <w:vAlign w:val="center"/>
          </w:tcPr>
          <w:p w:rsidR="00E23B0E" w:rsidRPr="00992A46" w:rsidRDefault="00992A46" w:rsidP="00E23B0E">
            <w:pPr>
              <w:jc w:val="center"/>
              <w:rPr>
                <w:rFonts w:ascii="Cambria" w:hAnsi="Cambria"/>
                <w:color w:val="auto"/>
                <w:lang w:val="en-US"/>
              </w:rPr>
            </w:pPr>
            <w:r>
              <w:rPr>
                <w:rFonts w:ascii="Cambria" w:hAnsi="Cambria"/>
                <w:color w:val="auto"/>
                <w:lang w:val="en-US"/>
              </w:rPr>
              <w:t>11</w:t>
            </w:r>
          </w:p>
        </w:tc>
        <w:tc>
          <w:tcPr>
            <w:tcW w:w="7178" w:type="dxa"/>
            <w:vAlign w:val="center"/>
          </w:tcPr>
          <w:p w:rsidR="00E23B0E" w:rsidRPr="00992A46" w:rsidRDefault="00E23B0E" w:rsidP="00992A46">
            <w:pPr>
              <w:jc w:val="both"/>
              <w:cnfStyle w:val="000000100000" w:firstRow="0" w:lastRow="0" w:firstColumn="0" w:lastColumn="0" w:oddVBand="0" w:evenVBand="0" w:oddHBand="1" w:evenHBand="0" w:firstRowFirstColumn="0" w:firstRowLastColumn="0" w:lastRowFirstColumn="0" w:lastRowLastColumn="0"/>
              <w:rPr>
                <w:rFonts w:ascii="Cambria" w:hAnsi="Cambria" w:cs="TheSans B4 SemiLight"/>
                <w:b/>
                <w:color w:val="auto"/>
                <w:szCs w:val="24"/>
                <w:lang w:val="en-US"/>
              </w:rPr>
            </w:pPr>
            <w:r w:rsidRPr="00992A46">
              <w:rPr>
                <w:rFonts w:ascii="Cambria" w:hAnsi="Cambria" w:cs="TheSans B4 SemiLight"/>
                <w:color w:val="auto"/>
                <w:szCs w:val="24"/>
                <w:lang w:val="en-US"/>
              </w:rPr>
              <w:t>Software modules/libraries to facilitate the scope of work and output requirements as per Scope of work  of Annexure-DIPAM</w:t>
            </w:r>
          </w:p>
        </w:tc>
        <w:tc>
          <w:tcPr>
            <w:tcW w:w="2245" w:type="dxa"/>
            <w:vAlign w:val="center"/>
          </w:tcPr>
          <w:p w:rsidR="00E23B0E" w:rsidRPr="00992A46" w:rsidRDefault="00E23B0E" w:rsidP="00992A46">
            <w:pPr>
              <w:cnfStyle w:val="000000100000" w:firstRow="0" w:lastRow="0" w:firstColumn="0" w:lastColumn="0" w:oddVBand="0" w:evenVBand="0" w:oddHBand="1" w:evenHBand="0" w:firstRowFirstColumn="0" w:firstRowLastColumn="0" w:lastRowFirstColumn="0" w:lastRowLastColumn="0"/>
              <w:rPr>
                <w:rFonts w:ascii="Cambria" w:hAnsi="Cambria"/>
                <w:color w:val="auto"/>
                <w:lang w:val="en-US"/>
              </w:rPr>
            </w:pPr>
          </w:p>
        </w:tc>
      </w:tr>
    </w:tbl>
    <w:p w:rsidR="0073409E" w:rsidRDefault="0073409E" w:rsidP="005627EE">
      <w:pPr>
        <w:spacing w:after="0"/>
        <w:rPr>
          <w:rFonts w:ascii="Cambria" w:hAnsi="Cambria"/>
          <w:lang w:val="en-US"/>
        </w:rPr>
      </w:pPr>
    </w:p>
    <w:p w:rsidR="00992A46" w:rsidRDefault="00992A46" w:rsidP="005627EE">
      <w:pPr>
        <w:spacing w:after="0"/>
        <w:rPr>
          <w:rFonts w:ascii="Cambria" w:hAnsi="Cambria"/>
          <w:lang w:val="en-US"/>
        </w:rPr>
      </w:pPr>
      <w:r>
        <w:rPr>
          <w:rFonts w:ascii="Cambria" w:hAnsi="Cambria"/>
          <w:lang w:val="en-US"/>
        </w:rPr>
        <w:t>We confirm having understood the entire scope of work, contents mentioned in Section 7</w:t>
      </w:r>
      <w:r w:rsidR="001536CC">
        <w:rPr>
          <w:rFonts w:ascii="Cambria" w:hAnsi="Cambria"/>
          <w:lang w:val="en-US"/>
        </w:rPr>
        <w:t xml:space="preserve"> and its sub sections</w:t>
      </w:r>
      <w:r>
        <w:rPr>
          <w:rFonts w:ascii="Cambria" w:hAnsi="Cambria"/>
          <w:lang w:val="en-US"/>
        </w:rPr>
        <w:t xml:space="preserve"> of the RFP </w:t>
      </w:r>
      <w:r w:rsidRPr="00703A00">
        <w:rPr>
          <w:rFonts w:ascii="Cambria" w:hAnsi="Cambria"/>
          <w:lang w:val="en-US"/>
        </w:rPr>
        <w:t>with all its terms and conditions and undertake to abide by the terms and conditions.</w:t>
      </w:r>
    </w:p>
    <w:p w:rsidR="00992A46" w:rsidRDefault="00992A46" w:rsidP="005627EE">
      <w:pPr>
        <w:spacing w:after="0"/>
        <w:rPr>
          <w:rFonts w:ascii="Cambria" w:hAnsi="Cambria"/>
          <w:lang w:val="en-US"/>
        </w:rPr>
      </w:pPr>
    </w:p>
    <w:p w:rsidR="00992A46" w:rsidRDefault="00992A46" w:rsidP="005627EE">
      <w:pPr>
        <w:spacing w:after="0"/>
        <w:rPr>
          <w:rFonts w:ascii="Cambria" w:hAnsi="Cambria"/>
          <w:lang w:val="en-US"/>
        </w:rPr>
      </w:pPr>
    </w:p>
    <w:p w:rsidR="00992A46" w:rsidRDefault="00992A46" w:rsidP="005627EE">
      <w:pPr>
        <w:spacing w:after="0"/>
        <w:rPr>
          <w:rFonts w:ascii="Cambria" w:hAnsi="Cambria"/>
          <w:lang w:val="en-US"/>
        </w:rPr>
      </w:pPr>
    </w:p>
    <w:p w:rsidR="005627EE" w:rsidRDefault="005627EE" w:rsidP="005627EE">
      <w:pPr>
        <w:spacing w:after="0"/>
        <w:rPr>
          <w:rFonts w:ascii="Cambria" w:hAnsi="Cambria"/>
          <w:lang w:val="en-US"/>
        </w:rPr>
      </w:pPr>
      <w:r>
        <w:rPr>
          <w:rFonts w:ascii="Cambria" w:hAnsi="Cambria"/>
          <w:lang w:val="en-US"/>
        </w:rPr>
        <w:t xml:space="preserve">Authorized Signatory of the Bidder </w:t>
      </w:r>
    </w:p>
    <w:p w:rsidR="005627EE" w:rsidRDefault="005627EE" w:rsidP="005627EE">
      <w:pPr>
        <w:spacing w:after="0"/>
        <w:rPr>
          <w:rFonts w:ascii="Cambria" w:hAnsi="Cambria"/>
          <w:lang w:val="en-US"/>
        </w:rPr>
      </w:pPr>
      <w:r>
        <w:rPr>
          <w:rFonts w:ascii="Cambria" w:hAnsi="Cambria"/>
          <w:lang w:val="en-US"/>
        </w:rPr>
        <w:t>(</w:t>
      </w:r>
      <w:proofErr w:type="gramStart"/>
      <w:r>
        <w:rPr>
          <w:rFonts w:ascii="Cambria" w:hAnsi="Cambria"/>
          <w:lang w:val="en-US"/>
        </w:rPr>
        <w:t>with</w:t>
      </w:r>
      <w:proofErr w:type="gramEnd"/>
      <w:r>
        <w:rPr>
          <w:rFonts w:ascii="Cambria" w:hAnsi="Cambria"/>
          <w:lang w:val="en-US"/>
        </w:rPr>
        <w:t xml:space="preserve"> stamp or digital signature)</w:t>
      </w:r>
    </w:p>
    <w:p w:rsidR="005627EE" w:rsidRDefault="005627EE" w:rsidP="005627EE">
      <w:pPr>
        <w:spacing w:after="0"/>
        <w:rPr>
          <w:rFonts w:ascii="Cambria" w:hAnsi="Cambria"/>
          <w:lang w:val="en-US"/>
        </w:rPr>
      </w:pPr>
    </w:p>
    <w:p w:rsidR="005627EE" w:rsidRDefault="005627EE" w:rsidP="005627EE">
      <w:pPr>
        <w:spacing w:after="0"/>
        <w:rPr>
          <w:rFonts w:ascii="Cambria" w:hAnsi="Cambria"/>
          <w:lang w:val="en-US"/>
        </w:rPr>
      </w:pPr>
      <w:r>
        <w:rPr>
          <w:rFonts w:ascii="Cambria" w:hAnsi="Cambria"/>
          <w:lang w:val="en-US"/>
        </w:rPr>
        <w:t>Name:</w:t>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t>Place:</w:t>
      </w:r>
    </w:p>
    <w:p w:rsidR="006E62D7" w:rsidRDefault="005627EE" w:rsidP="00206263">
      <w:pPr>
        <w:spacing w:after="0"/>
        <w:rPr>
          <w:rFonts w:ascii="Cambria" w:hAnsi="Cambria"/>
          <w:lang w:val="en-US"/>
        </w:rPr>
      </w:pPr>
      <w:r>
        <w:rPr>
          <w:rFonts w:ascii="Cambria" w:hAnsi="Cambria"/>
          <w:lang w:val="en-US"/>
        </w:rPr>
        <w:t>Designation:</w:t>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r>
      <w:r>
        <w:rPr>
          <w:rFonts w:ascii="Cambria" w:hAnsi="Cambria"/>
          <w:lang w:val="en-US"/>
        </w:rPr>
        <w:tab/>
        <w:t xml:space="preserve">Date: </w:t>
      </w:r>
    </w:p>
    <w:sectPr w:rsidR="006E62D7" w:rsidSect="00992A46">
      <w:headerReference w:type="default" r:id="rId8"/>
      <w:footerReference w:type="default" r:id="rId9"/>
      <w:pgSz w:w="11906" w:h="16838"/>
      <w:pgMar w:top="1170" w:right="1440" w:bottom="810" w:left="1440" w:header="432"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A40" w:rsidRDefault="00B41A40" w:rsidP="0000051E">
      <w:pPr>
        <w:spacing w:after="0" w:line="240" w:lineRule="auto"/>
      </w:pPr>
      <w:r>
        <w:separator/>
      </w:r>
    </w:p>
  </w:endnote>
  <w:endnote w:type="continuationSeparator" w:id="0">
    <w:p w:rsidR="00B41A40" w:rsidRDefault="00B41A40"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heSans B4 SemiLight">
    <w:altName w:val="Courier New"/>
    <w:panose1 w:val="00000000000000000000"/>
    <w:charset w:val="00"/>
    <w:family w:val="swiss"/>
    <w:notTrueType/>
    <w:pitch w:val="variable"/>
    <w:sig w:usb0="00000001" w:usb1="00000000" w:usb2="00000000" w:usb3="00000000" w:csb0="00000009"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rsidR="00043B57" w:rsidRDefault="00043B57">
            <w:pPr>
              <w:pStyle w:val="Footer"/>
              <w:jc w:val="right"/>
            </w:pPr>
            <w:r w:rsidRPr="00043B57">
              <w:rPr>
                <w:rFonts w:ascii="Cambria" w:hAnsi="Cambria"/>
                <w:color w:val="0070C0"/>
                <w:sz w:val="20"/>
                <w:szCs w:val="20"/>
              </w:rPr>
              <w:t xml:space="preserve">Page </w:t>
            </w:r>
            <w:r w:rsidR="00772760"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00772760" w:rsidRPr="00043B57">
              <w:rPr>
                <w:rFonts w:ascii="Cambria" w:hAnsi="Cambria"/>
                <w:b/>
                <w:bCs/>
                <w:color w:val="0070C0"/>
                <w:sz w:val="20"/>
                <w:szCs w:val="20"/>
              </w:rPr>
              <w:fldChar w:fldCharType="separate"/>
            </w:r>
            <w:r w:rsidR="006F4E7D">
              <w:rPr>
                <w:rFonts w:ascii="Cambria" w:hAnsi="Cambria"/>
                <w:b/>
                <w:bCs/>
                <w:noProof/>
                <w:color w:val="0070C0"/>
                <w:sz w:val="20"/>
                <w:szCs w:val="20"/>
              </w:rPr>
              <w:t>1</w:t>
            </w:r>
            <w:r w:rsidR="00772760"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00772760"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00772760" w:rsidRPr="00043B57">
              <w:rPr>
                <w:rFonts w:ascii="Cambria" w:hAnsi="Cambria"/>
                <w:b/>
                <w:bCs/>
                <w:color w:val="0070C0"/>
                <w:sz w:val="20"/>
                <w:szCs w:val="20"/>
              </w:rPr>
              <w:fldChar w:fldCharType="separate"/>
            </w:r>
            <w:r w:rsidR="006F4E7D">
              <w:rPr>
                <w:rFonts w:ascii="Cambria" w:hAnsi="Cambria"/>
                <w:b/>
                <w:bCs/>
                <w:noProof/>
                <w:color w:val="0070C0"/>
                <w:sz w:val="20"/>
                <w:szCs w:val="20"/>
              </w:rPr>
              <w:t>1</w:t>
            </w:r>
            <w:r w:rsidR="00772760" w:rsidRPr="00043B57">
              <w:rPr>
                <w:rFonts w:ascii="Cambria" w:hAnsi="Cambria"/>
                <w:b/>
                <w:bCs/>
                <w:color w:val="0070C0"/>
                <w:sz w:val="20"/>
                <w:szCs w:val="20"/>
              </w:rPr>
              <w:fldChar w:fldCharType="end"/>
            </w:r>
          </w:p>
        </w:sdtContent>
      </w:sdt>
    </w:sdtContent>
  </w:sdt>
  <w:p w:rsidR="00043B57" w:rsidRPr="00043B57" w:rsidRDefault="00E23B0E" w:rsidP="00043B57">
    <w:pPr>
      <w:pStyle w:val="Footer"/>
      <w:ind w:left="-540"/>
      <w:rPr>
        <w:color w:val="BFBFBF" w:themeColor="background1" w:themeShade="BF"/>
      </w:rPr>
    </w:pPr>
    <w:r>
      <w:rPr>
        <w:rFonts w:ascii="Cambria" w:hAnsi="Cambria"/>
        <w:b/>
        <w:bCs/>
        <w:color w:val="BFBFBF" w:themeColor="background1" w:themeShade="BF"/>
        <w:lang w:val="en-US"/>
      </w:rPr>
      <w:t>Ref: CO/</w:t>
    </w:r>
    <w:proofErr w:type="spellStart"/>
    <w:r>
      <w:rPr>
        <w:rFonts w:ascii="Cambria" w:hAnsi="Cambria"/>
        <w:b/>
        <w:bCs/>
        <w:color w:val="BFBFBF" w:themeColor="background1" w:themeShade="BF"/>
        <w:lang w:val="en-US"/>
      </w:rPr>
      <w:t>Actl</w:t>
    </w:r>
    <w:proofErr w:type="spellEnd"/>
    <w:r>
      <w:rPr>
        <w:rFonts w:ascii="Cambria" w:hAnsi="Cambria"/>
        <w:b/>
        <w:bCs/>
        <w:color w:val="BFBFBF" w:themeColor="background1" w:themeShade="BF"/>
        <w:lang w:val="en-US"/>
      </w:rPr>
      <w:t>/2021/AS-202011/13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A40" w:rsidRDefault="00B41A40" w:rsidP="0000051E">
      <w:pPr>
        <w:spacing w:after="0" w:line="240" w:lineRule="auto"/>
      </w:pPr>
      <w:r>
        <w:separator/>
      </w:r>
    </w:p>
  </w:footnote>
  <w:footnote w:type="continuationSeparator" w:id="0">
    <w:p w:rsidR="00B41A40" w:rsidRDefault="00B41A40"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1E" w:rsidRDefault="0000051E" w:rsidP="0000051E">
    <w:pPr>
      <w:tabs>
        <w:tab w:val="left" w:pos="3645"/>
      </w:tabs>
      <w:ind w:left="-567"/>
      <w:jc w:val="center"/>
      <w:rPr>
        <w:rFonts w:ascii="Cambria" w:hAnsi="Cambria"/>
        <w:b/>
        <w:sz w:val="18"/>
      </w:rPr>
    </w:pPr>
  </w:p>
  <w:p w:rsidR="0000051E" w:rsidRPr="0090639D" w:rsidRDefault="0090639D" w:rsidP="0090639D">
    <w:pPr>
      <w:tabs>
        <w:tab w:val="left" w:pos="3645"/>
      </w:tabs>
      <w:ind w:left="-567"/>
      <w:rPr>
        <w:rFonts w:ascii="Cambria" w:hAnsi="Cambria"/>
        <w:b/>
        <w:bCs/>
        <w:color w:val="BFBFBF" w:themeColor="background1" w:themeShade="BF"/>
        <w:sz w:val="18"/>
      </w:rPr>
    </w:pPr>
    <w:r w:rsidRPr="00BF5CE2">
      <w:rPr>
        <w:rFonts w:ascii="Cambria" w:hAnsi="Cambria"/>
        <w:b/>
        <w:bCs/>
        <w:noProof/>
        <w:color w:val="BFBFBF" w:themeColor="background1" w:themeShade="BF"/>
      </w:rPr>
      <w:t>&lt;To be on Bidder’s Letter Head&gt;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66156"/>
    <w:multiLevelType w:val="hybridMultilevel"/>
    <w:tmpl w:val="4C327B30"/>
    <w:lvl w:ilvl="0" w:tplc="088E9FD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C4173C"/>
    <w:multiLevelType w:val="multilevel"/>
    <w:tmpl w:val="F65266E8"/>
    <w:lvl w:ilvl="0">
      <w:start w:val="1"/>
      <w:numFmt w:val="upperRoman"/>
      <w:lvlText w:val="%1."/>
      <w:lvlJc w:val="right"/>
      <w:pPr>
        <w:ind w:left="1080" w:hanging="72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C3D076C"/>
    <w:multiLevelType w:val="multilevel"/>
    <w:tmpl w:val="E65C029E"/>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51E"/>
    <w:rsid w:val="0000051E"/>
    <w:rsid w:val="00043B57"/>
    <w:rsid w:val="001536CC"/>
    <w:rsid w:val="00201CEB"/>
    <w:rsid w:val="00206263"/>
    <w:rsid w:val="00213A55"/>
    <w:rsid w:val="00413E89"/>
    <w:rsid w:val="004D445C"/>
    <w:rsid w:val="005627EE"/>
    <w:rsid w:val="005B3CA3"/>
    <w:rsid w:val="0067660C"/>
    <w:rsid w:val="006A3686"/>
    <w:rsid w:val="006E62D7"/>
    <w:rsid w:val="006F4E7D"/>
    <w:rsid w:val="0073409E"/>
    <w:rsid w:val="00772760"/>
    <w:rsid w:val="00784729"/>
    <w:rsid w:val="007B65CB"/>
    <w:rsid w:val="007D4EA1"/>
    <w:rsid w:val="008D17AB"/>
    <w:rsid w:val="0090639D"/>
    <w:rsid w:val="00992A46"/>
    <w:rsid w:val="00A3707F"/>
    <w:rsid w:val="00A61355"/>
    <w:rsid w:val="00AC2D66"/>
    <w:rsid w:val="00B41A40"/>
    <w:rsid w:val="00BF5CDA"/>
    <w:rsid w:val="00C56574"/>
    <w:rsid w:val="00D41AAD"/>
    <w:rsid w:val="00E23B0E"/>
    <w:rsid w:val="00ED72BC"/>
    <w:rsid w:val="00F23F21"/>
    <w:rsid w:val="00F360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7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7D4E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Saurav Ganguli</dc:creator>
  <cp:keywords/>
  <dc:description/>
  <cp:lastModifiedBy>H Nanda</cp:lastModifiedBy>
  <cp:revision>15</cp:revision>
  <dcterms:created xsi:type="dcterms:W3CDTF">2020-11-18T16:20:00Z</dcterms:created>
  <dcterms:modified xsi:type="dcterms:W3CDTF">2020-11-22T08:48:00Z</dcterms:modified>
</cp:coreProperties>
</file>